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F8F4" w14:textId="77777777" w:rsidR="00370004" w:rsidRDefault="00370004" w:rsidP="002648E3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NOTAS EXPLICATIVAS:</w:t>
      </w:r>
    </w:p>
    <w:p w14:paraId="1F566410" w14:textId="77777777" w:rsidR="002648E3" w:rsidRDefault="002648E3" w:rsidP="002648E3">
      <w:pPr>
        <w:spacing w:after="0" w:line="240" w:lineRule="auto"/>
        <w:jc w:val="both"/>
        <w:rPr>
          <w:b/>
          <w:bCs/>
          <w:u w:val="single"/>
        </w:rPr>
      </w:pPr>
    </w:p>
    <w:p w14:paraId="50496EDC" w14:textId="77777777" w:rsidR="00407932" w:rsidRPr="002648E3" w:rsidRDefault="00407932" w:rsidP="002648E3">
      <w:pPr>
        <w:spacing w:after="0" w:line="240" w:lineRule="auto"/>
        <w:jc w:val="both"/>
        <w:rPr>
          <w:b/>
          <w:bCs/>
          <w:i/>
          <w:u w:val="single"/>
        </w:rPr>
      </w:pPr>
      <w:r w:rsidRPr="002648E3">
        <w:rPr>
          <w:b/>
          <w:bCs/>
          <w:i/>
          <w:u w:val="single"/>
        </w:rPr>
        <w:t>Informações Gerais</w:t>
      </w:r>
    </w:p>
    <w:p w14:paraId="2C2EDED7" w14:textId="4FB6190F" w:rsidR="00407932" w:rsidRPr="00407932" w:rsidRDefault="00407932" w:rsidP="002648E3">
      <w:pPr>
        <w:spacing w:after="0" w:line="240" w:lineRule="auto"/>
        <w:jc w:val="both"/>
        <w:rPr>
          <w:b/>
          <w:bCs/>
        </w:rPr>
      </w:pPr>
      <w:r w:rsidRPr="00407932">
        <w:rPr>
          <w:b/>
          <w:bCs/>
        </w:rPr>
        <w:t>Nome do órgão:</w:t>
      </w:r>
      <w:r w:rsidR="0088032C">
        <w:rPr>
          <w:b/>
          <w:bCs/>
        </w:rPr>
        <w:t xml:space="preserve"> Fundo de Previdência Social de Barão do Triunfo</w:t>
      </w:r>
    </w:p>
    <w:p w14:paraId="1D27ADAF" w14:textId="77777777" w:rsidR="00407932" w:rsidRPr="00407932" w:rsidRDefault="00407932" w:rsidP="002648E3">
      <w:pPr>
        <w:spacing w:after="0" w:line="240" w:lineRule="auto"/>
        <w:jc w:val="both"/>
        <w:rPr>
          <w:b/>
          <w:bCs/>
        </w:rPr>
      </w:pPr>
      <w:r w:rsidRPr="00407932">
        <w:rPr>
          <w:b/>
          <w:bCs/>
        </w:rPr>
        <w:t>Endereço:</w:t>
      </w:r>
    </w:p>
    <w:p w14:paraId="163EC24E" w14:textId="77777777" w:rsidR="00407932" w:rsidRPr="00407932" w:rsidRDefault="00407932" w:rsidP="002648E3">
      <w:pPr>
        <w:spacing w:after="0" w:line="240" w:lineRule="auto"/>
        <w:jc w:val="both"/>
        <w:rPr>
          <w:b/>
          <w:bCs/>
        </w:rPr>
      </w:pPr>
      <w:r w:rsidRPr="00407932">
        <w:rPr>
          <w:b/>
          <w:bCs/>
        </w:rPr>
        <w:t>Natureza Jurídica:</w:t>
      </w:r>
    </w:p>
    <w:p w14:paraId="00B0F8DD" w14:textId="77777777" w:rsidR="00407932" w:rsidRPr="00407932" w:rsidRDefault="00407932" w:rsidP="002648E3">
      <w:pPr>
        <w:spacing w:after="0" w:line="240" w:lineRule="auto"/>
        <w:jc w:val="both"/>
        <w:rPr>
          <w:b/>
          <w:bCs/>
        </w:rPr>
      </w:pPr>
      <w:r w:rsidRPr="00407932">
        <w:rPr>
          <w:b/>
          <w:bCs/>
        </w:rPr>
        <w:t xml:space="preserve">Natureza das Operações e Principais Atividades: </w:t>
      </w:r>
    </w:p>
    <w:p w14:paraId="2047F78D" w14:textId="30B962F7" w:rsidR="00407932" w:rsidRPr="00407932" w:rsidRDefault="00407932" w:rsidP="002648E3">
      <w:pPr>
        <w:spacing w:after="0" w:line="240" w:lineRule="auto"/>
        <w:jc w:val="both"/>
        <w:rPr>
          <w:b/>
          <w:bCs/>
        </w:rPr>
      </w:pPr>
      <w:r w:rsidRPr="00407932">
        <w:rPr>
          <w:b/>
          <w:bCs/>
        </w:rPr>
        <w:t>Data de Encerramento:</w:t>
      </w:r>
      <w:r w:rsidR="0088032C">
        <w:rPr>
          <w:b/>
          <w:bCs/>
        </w:rPr>
        <w:t xml:space="preserve"> 31/12/2021</w:t>
      </w:r>
    </w:p>
    <w:p w14:paraId="03F097B9" w14:textId="4FDDF713" w:rsidR="00407932" w:rsidRPr="00407932" w:rsidRDefault="00407932" w:rsidP="002648E3">
      <w:pPr>
        <w:spacing w:after="0" w:line="240" w:lineRule="auto"/>
        <w:jc w:val="both"/>
        <w:rPr>
          <w:b/>
          <w:bCs/>
        </w:rPr>
      </w:pPr>
      <w:r w:rsidRPr="00407932">
        <w:rPr>
          <w:b/>
          <w:bCs/>
        </w:rPr>
        <w:t>Moeda Utilizada e Nível de Arredondamento:</w:t>
      </w:r>
      <w:r w:rsidR="0088032C">
        <w:rPr>
          <w:b/>
          <w:bCs/>
        </w:rPr>
        <w:t xml:space="preserve"> Real/Centavos</w:t>
      </w:r>
    </w:p>
    <w:p w14:paraId="3FF9355D" w14:textId="77777777" w:rsidR="002648E3" w:rsidRDefault="002648E3" w:rsidP="002648E3">
      <w:pPr>
        <w:spacing w:after="0" w:line="240" w:lineRule="auto"/>
        <w:jc w:val="both"/>
        <w:rPr>
          <w:b/>
          <w:bCs/>
          <w:u w:val="single"/>
        </w:rPr>
      </w:pPr>
    </w:p>
    <w:p w14:paraId="568105DD" w14:textId="77777777" w:rsidR="00370004" w:rsidRDefault="00370004" w:rsidP="002648E3">
      <w:pPr>
        <w:spacing w:after="0" w:line="240" w:lineRule="auto"/>
        <w:jc w:val="both"/>
        <w:rPr>
          <w:b/>
          <w:bCs/>
          <w:i/>
          <w:u w:val="single"/>
        </w:rPr>
      </w:pPr>
      <w:r w:rsidRPr="002648E3">
        <w:rPr>
          <w:b/>
          <w:bCs/>
          <w:i/>
          <w:u w:val="single"/>
        </w:rPr>
        <w:t>Balanço Orçamentário (Anexo 12)</w:t>
      </w:r>
    </w:p>
    <w:p w14:paraId="2ECAE5F9" w14:textId="77777777" w:rsidR="002648E3" w:rsidRPr="002648E3" w:rsidRDefault="002648E3" w:rsidP="002648E3">
      <w:pPr>
        <w:spacing w:after="0" w:line="240" w:lineRule="auto"/>
        <w:jc w:val="both"/>
        <w:rPr>
          <w:i/>
          <w:u w:val="single"/>
        </w:rPr>
      </w:pPr>
    </w:p>
    <w:p w14:paraId="38E55082" w14:textId="77777777" w:rsidR="00D90E91" w:rsidRPr="00930ECF" w:rsidRDefault="00930ECF" w:rsidP="00930ECF">
      <w:pPr>
        <w:spacing w:after="0" w:line="240" w:lineRule="auto"/>
        <w:jc w:val="both"/>
      </w:pPr>
      <w:r w:rsidRPr="00930ECF">
        <w:t>Regime Orçamentário: Regime Misto, receitas conforme regime de caixa e despesas conforme o regime de empenho.</w:t>
      </w:r>
    </w:p>
    <w:p w14:paraId="5056469C" w14:textId="2CD0E91B" w:rsidR="00D90E91" w:rsidRPr="00930ECF" w:rsidRDefault="00930ECF" w:rsidP="00930ECF">
      <w:pPr>
        <w:spacing w:after="0" w:line="240" w:lineRule="auto"/>
        <w:jc w:val="both"/>
      </w:pPr>
      <w:r w:rsidRPr="00930ECF">
        <w:t xml:space="preserve">A execução da despesa do total de </w:t>
      </w:r>
      <w:r w:rsidR="0088032C">
        <w:t xml:space="preserve">R$ 1.563.978,12, </w:t>
      </w:r>
      <w:r w:rsidRPr="00930ECF">
        <w:t xml:space="preserve">foi executada </w:t>
      </w:r>
      <w:r w:rsidR="0088032C">
        <w:t xml:space="preserve">R$ 1.072.368,86 </w:t>
      </w:r>
      <w:r w:rsidRPr="00930ECF">
        <w:t xml:space="preserve">dos créditos iniciais do orçamento; </w:t>
      </w:r>
      <w:r w:rsidR="0088032C">
        <w:t>R$ 80.000,00</w:t>
      </w:r>
      <w:r w:rsidRPr="00930ECF">
        <w:t xml:space="preserve"> de créditos suplementares </w:t>
      </w:r>
      <w:r w:rsidR="0088032C">
        <w:t xml:space="preserve">R$ 411.609,26 </w:t>
      </w:r>
      <w:r w:rsidRPr="00930ECF">
        <w:t>de créditos especiais.</w:t>
      </w:r>
    </w:p>
    <w:p w14:paraId="18DFA7D7" w14:textId="64CA59A2" w:rsidR="00D90E91" w:rsidRPr="00930ECF" w:rsidRDefault="00930ECF" w:rsidP="00930ECF">
      <w:pPr>
        <w:spacing w:after="0" w:line="240" w:lineRule="auto"/>
        <w:jc w:val="both"/>
      </w:pPr>
      <w:r w:rsidRPr="00930ECF">
        <w:t>A Entidade inscreveu em restos a pagar no exercício de 20</w:t>
      </w:r>
      <w:r w:rsidR="00AC6ACA">
        <w:t>2</w:t>
      </w:r>
      <w:r w:rsidR="0088032C">
        <w:t>1</w:t>
      </w:r>
      <w:r w:rsidRPr="00930ECF">
        <w:t xml:space="preserve"> R$</w:t>
      </w:r>
      <w:r w:rsidR="0088032C">
        <w:t xml:space="preserve"> 14.594,82</w:t>
      </w:r>
      <w:r w:rsidRPr="00930ECF">
        <w:t>, referente restos não processados e R$</w:t>
      </w:r>
      <w:r w:rsidR="0088032C">
        <w:t xml:space="preserve"> 32.091,08</w:t>
      </w:r>
      <w:r w:rsidRPr="00930ECF">
        <w:t xml:space="preserve"> referente restos processados, no qual os mesmos serão executados no exercício de 20</w:t>
      </w:r>
      <w:r w:rsidR="006C5879">
        <w:t>2</w:t>
      </w:r>
      <w:r w:rsidR="0088032C">
        <w:t>2</w:t>
      </w:r>
      <w:r w:rsidRPr="00930ECF">
        <w:t>.</w:t>
      </w:r>
    </w:p>
    <w:p w14:paraId="57369C6D" w14:textId="77777777" w:rsidR="00930ECF" w:rsidRPr="00930ECF" w:rsidRDefault="00930ECF" w:rsidP="00930ECF">
      <w:pPr>
        <w:spacing w:after="0" w:line="240" w:lineRule="auto"/>
        <w:jc w:val="both"/>
      </w:pPr>
      <w:r w:rsidRPr="00930ECF">
        <w:t xml:space="preserve"> </w:t>
      </w:r>
    </w:p>
    <w:p w14:paraId="787C0C55" w14:textId="3D09CE62" w:rsidR="00930ECF" w:rsidRPr="00930ECF" w:rsidRDefault="00930ECF" w:rsidP="00261FDC">
      <w:pPr>
        <w:spacing w:after="0" w:line="240" w:lineRule="auto"/>
        <w:jc w:val="both"/>
      </w:pPr>
      <w:r w:rsidRPr="00930ECF">
        <w:t>A Entidade adotou o critério de demonstrar os restos a pagar não processados liquidados em contas específicas, ou seja, se o ente transfere o saldo ao final do exercício para restos a pagar processados ou se mantém o controle dos restos a pagar não processados liquidados separadamente.</w:t>
      </w:r>
    </w:p>
    <w:p w14:paraId="49F20453" w14:textId="77777777" w:rsidR="00370004" w:rsidRPr="00370004" w:rsidRDefault="00370004" w:rsidP="002648E3">
      <w:pPr>
        <w:spacing w:after="0" w:line="240" w:lineRule="auto"/>
        <w:jc w:val="both"/>
      </w:pPr>
    </w:p>
    <w:p w14:paraId="649CD046" w14:textId="77777777" w:rsidR="00370004" w:rsidRDefault="00370004" w:rsidP="002648E3">
      <w:pPr>
        <w:spacing w:after="0" w:line="240" w:lineRule="auto"/>
        <w:jc w:val="both"/>
        <w:rPr>
          <w:rFonts w:eastAsiaTheme="majorEastAsia"/>
          <w:b/>
          <w:bCs/>
          <w:i/>
          <w:u w:val="single"/>
        </w:rPr>
      </w:pPr>
      <w:r w:rsidRPr="002648E3">
        <w:rPr>
          <w:rFonts w:eastAsiaTheme="majorEastAsia"/>
          <w:b/>
          <w:bCs/>
          <w:i/>
          <w:u w:val="single"/>
        </w:rPr>
        <w:t>Balanço Financeiro (Anexo 13)</w:t>
      </w:r>
    </w:p>
    <w:p w14:paraId="6EEEEB63" w14:textId="77777777" w:rsidR="002648E3" w:rsidRPr="002648E3" w:rsidRDefault="002648E3" w:rsidP="002648E3">
      <w:pPr>
        <w:spacing w:after="0" w:line="240" w:lineRule="auto"/>
        <w:jc w:val="both"/>
        <w:rPr>
          <w:i/>
          <w:u w:val="single"/>
        </w:rPr>
      </w:pPr>
    </w:p>
    <w:p w14:paraId="5F925293" w14:textId="78312CE5" w:rsidR="00AC6ACA" w:rsidRDefault="00261FDC" w:rsidP="00AC6ACA">
      <w:pPr>
        <w:tabs>
          <w:tab w:val="left" w:pos="360"/>
        </w:tabs>
        <w:spacing w:after="0" w:line="240" w:lineRule="auto"/>
        <w:jc w:val="both"/>
      </w:pPr>
      <w:r>
        <w:t>A linha Demais Obrigações a Curto Prazo do lado dos ingressos, é composta pela movimentação credora do grupo 2.1.8.8.</w:t>
      </w:r>
    </w:p>
    <w:p w14:paraId="03C1F310" w14:textId="42966469" w:rsidR="00261FDC" w:rsidRDefault="00261FDC" w:rsidP="00AC6ACA">
      <w:pPr>
        <w:tabs>
          <w:tab w:val="left" w:pos="360"/>
        </w:tabs>
        <w:spacing w:after="0" w:line="240" w:lineRule="auto"/>
        <w:jc w:val="both"/>
      </w:pPr>
    </w:p>
    <w:p w14:paraId="1E96E172" w14:textId="735FCB5E" w:rsidR="00261FDC" w:rsidRDefault="00261FDC" w:rsidP="00AC6ACA">
      <w:pPr>
        <w:tabs>
          <w:tab w:val="left" w:pos="360"/>
        </w:tabs>
        <w:spacing w:after="0" w:line="240" w:lineRule="auto"/>
        <w:jc w:val="both"/>
      </w:pPr>
      <w:r>
        <w:t xml:space="preserve">Já a linha </w:t>
      </w:r>
      <w:r>
        <w:t>Demais Obrigações a Curto Prazo do lado</w:t>
      </w:r>
      <w:r>
        <w:t xml:space="preserve"> do lado dos dispêndios é composta pela movimentação devedora das contas do grupo 2.1.8.8.</w:t>
      </w:r>
    </w:p>
    <w:p w14:paraId="17B03FF5" w14:textId="77777777" w:rsidR="00AC6ACA" w:rsidRDefault="00AC6ACA" w:rsidP="002648E3">
      <w:pPr>
        <w:tabs>
          <w:tab w:val="left" w:pos="360"/>
        </w:tabs>
        <w:spacing w:after="0" w:line="240" w:lineRule="auto"/>
        <w:jc w:val="both"/>
      </w:pPr>
    </w:p>
    <w:p w14:paraId="49896BF1" w14:textId="77777777" w:rsidR="00370004" w:rsidRDefault="00370004" w:rsidP="002648E3">
      <w:pPr>
        <w:tabs>
          <w:tab w:val="left" w:pos="360"/>
        </w:tabs>
        <w:spacing w:after="0" w:line="240" w:lineRule="auto"/>
        <w:jc w:val="both"/>
        <w:rPr>
          <w:b/>
          <w:bCs/>
          <w:i/>
          <w:u w:val="single"/>
        </w:rPr>
      </w:pPr>
      <w:r w:rsidRPr="002648E3">
        <w:rPr>
          <w:b/>
          <w:bCs/>
          <w:i/>
          <w:u w:val="single"/>
        </w:rPr>
        <w:t>Balanço Patrimonial (Anexo 14)</w:t>
      </w:r>
    </w:p>
    <w:p w14:paraId="37FECDD9" w14:textId="77777777" w:rsidR="002648E3" w:rsidRPr="002648E3" w:rsidRDefault="002648E3" w:rsidP="002648E3">
      <w:pPr>
        <w:tabs>
          <w:tab w:val="left" w:pos="360"/>
        </w:tabs>
        <w:spacing w:after="0" w:line="240" w:lineRule="auto"/>
        <w:jc w:val="both"/>
        <w:rPr>
          <w:i/>
          <w:u w:val="single"/>
        </w:rPr>
      </w:pPr>
    </w:p>
    <w:p w14:paraId="74A08645" w14:textId="1F064B3D" w:rsidR="00C16DEE" w:rsidRPr="00370004" w:rsidRDefault="007369F3" w:rsidP="002648E3">
      <w:pPr>
        <w:spacing w:after="0" w:line="240" w:lineRule="auto"/>
        <w:jc w:val="both"/>
      </w:pPr>
      <w:r>
        <w:t>O valor apresentado em créditos a curto prazo, refere-se a valores previdenciários a receber parcelados.</w:t>
      </w:r>
    </w:p>
    <w:p w14:paraId="78E5F4A3" w14:textId="5C1C9E58" w:rsidR="00C16DEE" w:rsidRPr="00370004" w:rsidRDefault="007369F3" w:rsidP="002648E3">
      <w:pPr>
        <w:spacing w:after="0" w:line="240" w:lineRule="auto"/>
        <w:jc w:val="both"/>
      </w:pPr>
      <w:r>
        <w:t>O ativo não circulante, também é composto por valores previdenciários a receber parcelados, ao qual será recebido após 12 meses, após a elaboração das demonstrações contábeis</w:t>
      </w:r>
      <w:r w:rsidR="002648E3" w:rsidRPr="00370004">
        <w:t>.</w:t>
      </w:r>
    </w:p>
    <w:p w14:paraId="6DEDEA95" w14:textId="77777777" w:rsidR="007369F3" w:rsidRPr="00370004" w:rsidRDefault="007369F3" w:rsidP="007369F3">
      <w:pPr>
        <w:tabs>
          <w:tab w:val="left" w:pos="360"/>
        </w:tabs>
        <w:spacing w:after="0" w:line="240" w:lineRule="auto"/>
        <w:jc w:val="both"/>
      </w:pPr>
      <w:r>
        <w:t>As demais obrigações a curto prazo, referem-se a valores restituíveis e consignações.</w:t>
      </w:r>
    </w:p>
    <w:p w14:paraId="07CB01B5" w14:textId="77777777" w:rsidR="00370004" w:rsidRDefault="00370004" w:rsidP="002648E3">
      <w:pPr>
        <w:tabs>
          <w:tab w:val="left" w:pos="1755"/>
        </w:tabs>
        <w:spacing w:after="0" w:line="240" w:lineRule="auto"/>
        <w:jc w:val="both"/>
        <w:rPr>
          <w:b/>
          <w:bCs/>
        </w:rPr>
      </w:pPr>
    </w:p>
    <w:p w14:paraId="120D3E9E" w14:textId="77777777" w:rsidR="00370004" w:rsidRDefault="00370004" w:rsidP="002648E3">
      <w:pPr>
        <w:tabs>
          <w:tab w:val="left" w:pos="1755"/>
        </w:tabs>
        <w:spacing w:after="0" w:line="240" w:lineRule="auto"/>
        <w:jc w:val="both"/>
        <w:rPr>
          <w:b/>
          <w:bCs/>
          <w:i/>
          <w:u w:val="single"/>
        </w:rPr>
      </w:pPr>
      <w:r w:rsidRPr="002648E3">
        <w:rPr>
          <w:b/>
          <w:bCs/>
          <w:i/>
          <w:u w:val="single"/>
        </w:rPr>
        <w:t>Demonstração das Variações Patrimoniais (Anexo 15)</w:t>
      </w:r>
    </w:p>
    <w:p w14:paraId="21280047" w14:textId="77777777" w:rsidR="002648E3" w:rsidRPr="002648E3" w:rsidRDefault="002648E3" w:rsidP="002648E3">
      <w:pPr>
        <w:tabs>
          <w:tab w:val="left" w:pos="1755"/>
        </w:tabs>
        <w:spacing w:after="0" w:line="240" w:lineRule="auto"/>
        <w:jc w:val="both"/>
        <w:rPr>
          <w:i/>
          <w:u w:val="single"/>
        </w:rPr>
      </w:pPr>
    </w:p>
    <w:p w14:paraId="567A9F39" w14:textId="62BA0622" w:rsidR="00AC6ACA" w:rsidRDefault="007369F3" w:rsidP="002648E3">
      <w:pPr>
        <w:tabs>
          <w:tab w:val="left" w:pos="1755"/>
        </w:tabs>
        <w:spacing w:after="0" w:line="240" w:lineRule="auto"/>
        <w:jc w:val="both"/>
      </w:pPr>
      <w:r>
        <w:t xml:space="preserve">O maior valor </w:t>
      </w:r>
      <w:r w:rsidR="000932E9">
        <w:t>que está</w:t>
      </w:r>
      <w:r>
        <w:t xml:space="preserve"> impactando a Demonstração das Variações Patrimoniais, são os valores referente as provisões matemáticas.</w:t>
      </w:r>
    </w:p>
    <w:p w14:paraId="7EF31900" w14:textId="4F13102E" w:rsidR="007369F3" w:rsidRDefault="007369F3" w:rsidP="002648E3">
      <w:pPr>
        <w:tabs>
          <w:tab w:val="left" w:pos="1755"/>
        </w:tabs>
        <w:spacing w:after="0" w:line="240" w:lineRule="auto"/>
        <w:jc w:val="both"/>
      </w:pPr>
    </w:p>
    <w:p w14:paraId="2960A63B" w14:textId="7F883020" w:rsidR="007369F3" w:rsidRDefault="007369F3" w:rsidP="002648E3">
      <w:pPr>
        <w:tabs>
          <w:tab w:val="left" w:pos="1755"/>
        </w:tabs>
        <w:spacing w:after="0" w:line="240" w:lineRule="auto"/>
        <w:jc w:val="both"/>
      </w:pPr>
      <w:r>
        <w:t xml:space="preserve">Logo, a entidade possui um resultado </w:t>
      </w:r>
      <w:r w:rsidR="000932E9">
        <w:t>patrimonial deficitário, em virtude dessas provisões matemáticas.</w:t>
      </w:r>
    </w:p>
    <w:p w14:paraId="086BD305" w14:textId="77777777" w:rsidR="007369F3" w:rsidRDefault="007369F3" w:rsidP="002648E3">
      <w:pPr>
        <w:tabs>
          <w:tab w:val="left" w:pos="1755"/>
        </w:tabs>
        <w:spacing w:after="0" w:line="240" w:lineRule="auto"/>
        <w:jc w:val="both"/>
      </w:pPr>
    </w:p>
    <w:p w14:paraId="0886AB8A" w14:textId="77777777" w:rsidR="00370004" w:rsidRDefault="00370004" w:rsidP="002648E3">
      <w:pPr>
        <w:tabs>
          <w:tab w:val="left" w:pos="1755"/>
        </w:tabs>
        <w:spacing w:after="0" w:line="240" w:lineRule="auto"/>
        <w:jc w:val="both"/>
      </w:pPr>
    </w:p>
    <w:p w14:paraId="316F7260" w14:textId="77777777" w:rsidR="00370004" w:rsidRDefault="00370004" w:rsidP="002648E3">
      <w:pPr>
        <w:tabs>
          <w:tab w:val="left" w:pos="1755"/>
        </w:tabs>
        <w:spacing w:after="0" w:line="240" w:lineRule="auto"/>
        <w:jc w:val="both"/>
        <w:rPr>
          <w:b/>
          <w:bCs/>
          <w:i/>
          <w:u w:val="single"/>
        </w:rPr>
      </w:pPr>
      <w:r w:rsidRPr="002648E3">
        <w:rPr>
          <w:b/>
          <w:bCs/>
          <w:i/>
          <w:u w:val="single"/>
        </w:rPr>
        <w:t>Fluxo de Caixa (Anexo 18)</w:t>
      </w:r>
    </w:p>
    <w:p w14:paraId="1B838AEB" w14:textId="77777777" w:rsidR="002648E3" w:rsidRPr="002648E3" w:rsidRDefault="002648E3" w:rsidP="002648E3">
      <w:pPr>
        <w:tabs>
          <w:tab w:val="left" w:pos="1755"/>
        </w:tabs>
        <w:spacing w:after="0" w:line="240" w:lineRule="auto"/>
        <w:jc w:val="both"/>
        <w:rPr>
          <w:b/>
          <w:bCs/>
          <w:i/>
          <w:u w:val="single"/>
        </w:rPr>
      </w:pPr>
    </w:p>
    <w:p w14:paraId="16C947D4" w14:textId="55D9F60D" w:rsidR="00AC6ACA" w:rsidRDefault="00261FDC" w:rsidP="00AC6ACA">
      <w:pPr>
        <w:tabs>
          <w:tab w:val="left" w:pos="360"/>
        </w:tabs>
        <w:spacing w:after="0" w:line="240" w:lineRule="auto"/>
        <w:jc w:val="both"/>
      </w:pPr>
      <w:r>
        <w:t>Na linha de “Outros Ingressos Operacionais”, é composta pela movimentação a credito das contas do grupo 2.1.8.8 e pelas Receitas da Entidade.</w:t>
      </w:r>
    </w:p>
    <w:p w14:paraId="25C13AE6" w14:textId="00FD4BCC" w:rsidR="00261FDC" w:rsidRDefault="00261FDC" w:rsidP="00AC6ACA">
      <w:pPr>
        <w:tabs>
          <w:tab w:val="left" w:pos="360"/>
        </w:tabs>
        <w:spacing w:after="0" w:line="240" w:lineRule="auto"/>
        <w:jc w:val="both"/>
      </w:pPr>
    </w:p>
    <w:p w14:paraId="1EF7B8F3" w14:textId="0FA8AE0C" w:rsidR="00FC6C69" w:rsidRDefault="00261FDC" w:rsidP="00261FDC">
      <w:pPr>
        <w:tabs>
          <w:tab w:val="left" w:pos="360"/>
        </w:tabs>
        <w:spacing w:after="0" w:line="240" w:lineRule="auto"/>
        <w:jc w:val="both"/>
      </w:pPr>
      <w:r>
        <w:t>Já a linha “Outros Desembolsos Operacionais” é composta pela movimentação a debito das contas do grupo 2.1.8.8 e pelas despesas da entidade.</w:t>
      </w:r>
    </w:p>
    <w:sectPr w:rsidR="00FC6C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77F8"/>
    <w:multiLevelType w:val="hybridMultilevel"/>
    <w:tmpl w:val="949EDF9E"/>
    <w:lvl w:ilvl="0" w:tplc="6B226B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5C48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7612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2DB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CE9F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B270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808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9E6D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2AF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70FB5"/>
    <w:multiLevelType w:val="hybridMultilevel"/>
    <w:tmpl w:val="7960FA9E"/>
    <w:lvl w:ilvl="0" w:tplc="3BE2B4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1662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5C73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091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876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8F0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3480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A8B2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FAC8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01530"/>
    <w:multiLevelType w:val="hybridMultilevel"/>
    <w:tmpl w:val="04A81AE0"/>
    <w:lvl w:ilvl="0" w:tplc="753AC1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4232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D462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027F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E6C8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6A8A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3EA2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9C0F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A05E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AA5"/>
    <w:multiLevelType w:val="hybridMultilevel"/>
    <w:tmpl w:val="A288D6A4"/>
    <w:lvl w:ilvl="0" w:tplc="CE1E1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36F7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CC58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C7F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58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F2C8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9807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90CE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9CC8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86621"/>
    <w:multiLevelType w:val="hybridMultilevel"/>
    <w:tmpl w:val="868637F8"/>
    <w:lvl w:ilvl="0" w:tplc="80FCBFA8">
      <w:start w:val="1"/>
      <w:numFmt w:val="bullet"/>
      <w:lvlText w:val=""/>
      <w:lvlJc w:val="left"/>
      <w:pPr>
        <w:tabs>
          <w:tab w:val="num" w:pos="6031"/>
        </w:tabs>
        <w:ind w:left="6031" w:hanging="360"/>
      </w:pPr>
      <w:rPr>
        <w:rFonts w:ascii="Wingdings" w:hAnsi="Wingdings" w:hint="default"/>
      </w:rPr>
    </w:lvl>
    <w:lvl w:ilvl="1" w:tplc="14A8F030" w:tentative="1">
      <w:start w:val="1"/>
      <w:numFmt w:val="bullet"/>
      <w:lvlText w:val=""/>
      <w:lvlJc w:val="left"/>
      <w:pPr>
        <w:tabs>
          <w:tab w:val="num" w:pos="6751"/>
        </w:tabs>
        <w:ind w:left="6751" w:hanging="360"/>
      </w:pPr>
      <w:rPr>
        <w:rFonts w:ascii="Wingdings" w:hAnsi="Wingdings" w:hint="default"/>
      </w:rPr>
    </w:lvl>
    <w:lvl w:ilvl="2" w:tplc="004A97B8" w:tentative="1">
      <w:start w:val="1"/>
      <w:numFmt w:val="bullet"/>
      <w:lvlText w:val=""/>
      <w:lvlJc w:val="left"/>
      <w:pPr>
        <w:tabs>
          <w:tab w:val="num" w:pos="7471"/>
        </w:tabs>
        <w:ind w:left="7471" w:hanging="360"/>
      </w:pPr>
      <w:rPr>
        <w:rFonts w:ascii="Wingdings" w:hAnsi="Wingdings" w:hint="default"/>
      </w:rPr>
    </w:lvl>
    <w:lvl w:ilvl="3" w:tplc="E9E8F8F8" w:tentative="1">
      <w:start w:val="1"/>
      <w:numFmt w:val="bullet"/>
      <w:lvlText w:val=""/>
      <w:lvlJc w:val="left"/>
      <w:pPr>
        <w:tabs>
          <w:tab w:val="num" w:pos="8191"/>
        </w:tabs>
        <w:ind w:left="8191" w:hanging="360"/>
      </w:pPr>
      <w:rPr>
        <w:rFonts w:ascii="Wingdings" w:hAnsi="Wingdings" w:hint="default"/>
      </w:rPr>
    </w:lvl>
    <w:lvl w:ilvl="4" w:tplc="C4301B4C" w:tentative="1">
      <w:start w:val="1"/>
      <w:numFmt w:val="bullet"/>
      <w:lvlText w:val=""/>
      <w:lvlJc w:val="left"/>
      <w:pPr>
        <w:tabs>
          <w:tab w:val="num" w:pos="8911"/>
        </w:tabs>
        <w:ind w:left="8911" w:hanging="360"/>
      </w:pPr>
      <w:rPr>
        <w:rFonts w:ascii="Wingdings" w:hAnsi="Wingdings" w:hint="default"/>
      </w:rPr>
    </w:lvl>
    <w:lvl w:ilvl="5" w:tplc="7A9056B4" w:tentative="1">
      <w:start w:val="1"/>
      <w:numFmt w:val="bullet"/>
      <w:lvlText w:val=""/>
      <w:lvlJc w:val="left"/>
      <w:pPr>
        <w:tabs>
          <w:tab w:val="num" w:pos="9631"/>
        </w:tabs>
        <w:ind w:left="9631" w:hanging="360"/>
      </w:pPr>
      <w:rPr>
        <w:rFonts w:ascii="Wingdings" w:hAnsi="Wingdings" w:hint="default"/>
      </w:rPr>
    </w:lvl>
    <w:lvl w:ilvl="6" w:tplc="A91E6FF4" w:tentative="1">
      <w:start w:val="1"/>
      <w:numFmt w:val="bullet"/>
      <w:lvlText w:val=""/>
      <w:lvlJc w:val="left"/>
      <w:pPr>
        <w:tabs>
          <w:tab w:val="num" w:pos="10351"/>
        </w:tabs>
        <w:ind w:left="10351" w:hanging="360"/>
      </w:pPr>
      <w:rPr>
        <w:rFonts w:ascii="Wingdings" w:hAnsi="Wingdings" w:hint="default"/>
      </w:rPr>
    </w:lvl>
    <w:lvl w:ilvl="7" w:tplc="67128B16" w:tentative="1">
      <w:start w:val="1"/>
      <w:numFmt w:val="bullet"/>
      <w:lvlText w:val=""/>
      <w:lvlJc w:val="left"/>
      <w:pPr>
        <w:tabs>
          <w:tab w:val="num" w:pos="11071"/>
        </w:tabs>
        <w:ind w:left="11071" w:hanging="360"/>
      </w:pPr>
      <w:rPr>
        <w:rFonts w:ascii="Wingdings" w:hAnsi="Wingdings" w:hint="default"/>
      </w:rPr>
    </w:lvl>
    <w:lvl w:ilvl="8" w:tplc="67CEC604" w:tentative="1">
      <w:start w:val="1"/>
      <w:numFmt w:val="bullet"/>
      <w:lvlText w:val=""/>
      <w:lvlJc w:val="left"/>
      <w:pPr>
        <w:tabs>
          <w:tab w:val="num" w:pos="11791"/>
        </w:tabs>
        <w:ind w:left="11791" w:hanging="360"/>
      </w:pPr>
      <w:rPr>
        <w:rFonts w:ascii="Wingdings" w:hAnsi="Wingdings" w:hint="default"/>
      </w:rPr>
    </w:lvl>
  </w:abstractNum>
  <w:abstractNum w:abstractNumId="5" w15:restartNumberingAfterBreak="0">
    <w:nsid w:val="26C5180C"/>
    <w:multiLevelType w:val="hybridMultilevel"/>
    <w:tmpl w:val="5BD0C18A"/>
    <w:lvl w:ilvl="0" w:tplc="611E2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EE73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244A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AD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5038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0827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4656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C0C4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E00E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6444E"/>
    <w:multiLevelType w:val="hybridMultilevel"/>
    <w:tmpl w:val="4F9EBD0E"/>
    <w:lvl w:ilvl="0" w:tplc="59B02E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82B1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BAE5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321A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BE76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5841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C256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E0D2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0865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D5E2F"/>
    <w:multiLevelType w:val="hybridMultilevel"/>
    <w:tmpl w:val="06C4FF8C"/>
    <w:lvl w:ilvl="0" w:tplc="CE1E12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80F2E"/>
    <w:multiLevelType w:val="hybridMultilevel"/>
    <w:tmpl w:val="2706899E"/>
    <w:lvl w:ilvl="0" w:tplc="0874CF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D0CF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92E3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82FC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CAE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3E04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A84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66C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2AFE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F1FBE"/>
    <w:multiLevelType w:val="hybridMultilevel"/>
    <w:tmpl w:val="EFF658C6"/>
    <w:lvl w:ilvl="0" w:tplc="30DE1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423B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2CF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2AA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EC7B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5E02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01D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B64D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B896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04FF4"/>
    <w:multiLevelType w:val="hybridMultilevel"/>
    <w:tmpl w:val="330E1C08"/>
    <w:lvl w:ilvl="0" w:tplc="AFDE7F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2626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20E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01B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06B1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F6EE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45C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245F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6F7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F610E"/>
    <w:multiLevelType w:val="hybridMultilevel"/>
    <w:tmpl w:val="56B86A9C"/>
    <w:lvl w:ilvl="0" w:tplc="84FC4F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F882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3635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4F3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FC58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9257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2402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AC5C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B667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04B3E"/>
    <w:multiLevelType w:val="hybridMultilevel"/>
    <w:tmpl w:val="C0028ED6"/>
    <w:lvl w:ilvl="0" w:tplc="330485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BEE6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EE86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87D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B0AC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E813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1A7D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885A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6E9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004"/>
    <w:rsid w:val="000932E9"/>
    <w:rsid w:val="00261FDC"/>
    <w:rsid w:val="002648E3"/>
    <w:rsid w:val="00370004"/>
    <w:rsid w:val="00407932"/>
    <w:rsid w:val="006C5879"/>
    <w:rsid w:val="007369F3"/>
    <w:rsid w:val="0088032C"/>
    <w:rsid w:val="00930ECF"/>
    <w:rsid w:val="00A37F62"/>
    <w:rsid w:val="00AC6ACA"/>
    <w:rsid w:val="00C16DEE"/>
    <w:rsid w:val="00D90E91"/>
    <w:rsid w:val="00DF68E3"/>
    <w:rsid w:val="00EE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0FA7"/>
  <w15:chartTrackingRefBased/>
  <w15:docId w15:val="{26FA94D2-C98C-4B54-AE4B-F10888C6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00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Travi</dc:creator>
  <cp:keywords/>
  <dc:description/>
  <cp:lastModifiedBy>Bruna</cp:lastModifiedBy>
  <cp:revision>5</cp:revision>
  <dcterms:created xsi:type="dcterms:W3CDTF">2022-02-07T12:04:00Z</dcterms:created>
  <dcterms:modified xsi:type="dcterms:W3CDTF">2022-02-24T22:28:00Z</dcterms:modified>
</cp:coreProperties>
</file>