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820D6"/>
    <w:p w14:paraId="5E8A1B20">
      <w:pPr>
        <w:tabs>
          <w:tab w:val="left" w:pos="5100"/>
        </w:tabs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LEI Nº 729/2024</w:t>
      </w:r>
    </w:p>
    <w:p w14:paraId="4C923556">
      <w:pPr>
        <w:tabs>
          <w:tab w:val="left" w:pos="5100"/>
        </w:tabs>
        <w:jc w:val="center"/>
        <w:rPr>
          <w:rFonts w:ascii="Arial" w:hAnsi="Arial" w:cs="Arial"/>
          <w:sz w:val="16"/>
          <w:szCs w:val="16"/>
        </w:rPr>
      </w:pPr>
    </w:p>
    <w:p w14:paraId="7F6A7111">
      <w:pPr>
        <w:tabs>
          <w:tab w:val="left" w:pos="4253"/>
        </w:tabs>
        <w:ind w:left="4253"/>
        <w:jc w:val="both"/>
        <w:rPr>
          <w:rFonts w:ascii="Arial" w:hAnsi="Arial" w:cs="Arial"/>
          <w:kern w:val="0"/>
          <w:sz w:val="16"/>
          <w:szCs w:val="16"/>
        </w:rPr>
      </w:pPr>
      <w:r>
        <w:rPr>
          <w:rFonts w:ascii="Arial" w:hAnsi="Arial" w:cs="Arial"/>
          <w:b/>
          <w:bCs/>
          <w:kern w:val="0"/>
          <w:sz w:val="16"/>
          <w:szCs w:val="16"/>
        </w:rPr>
        <w:t>DISPOE SOBRE AS DIRETRIZES ORÇAMENTARIAS DO MUNICÍPIO DE BARAO DO TRIUNFO PARA O EXERCÍCIO DE 2025 E DA OUTRAS PROVIDENCIAS</w:t>
      </w:r>
      <w:r>
        <w:rPr>
          <w:rFonts w:ascii="Arial" w:hAnsi="Arial" w:cs="Arial"/>
          <w:kern w:val="0"/>
          <w:sz w:val="16"/>
          <w:szCs w:val="16"/>
        </w:rPr>
        <w:t>.</w:t>
      </w:r>
    </w:p>
    <w:p w14:paraId="13ADEA31">
      <w:pPr>
        <w:tabs>
          <w:tab w:val="left" w:pos="142"/>
        </w:tabs>
        <w:jc w:val="both"/>
        <w:rPr>
          <w:rFonts w:ascii="Arial" w:hAnsi="Arial" w:cs="Arial"/>
          <w:kern w:val="0"/>
          <w:sz w:val="21"/>
          <w:szCs w:val="21"/>
        </w:rPr>
      </w:pPr>
    </w:p>
    <w:p w14:paraId="7AC8D02B">
      <w:pPr>
        <w:tabs>
          <w:tab w:val="left" w:pos="142"/>
        </w:tabs>
        <w:jc w:val="both"/>
        <w:rPr>
          <w:rFonts w:ascii="Arial" w:hAnsi="Arial" w:cs="Arial"/>
          <w:b/>
          <w:bCs/>
          <w:kern w:val="0"/>
          <w:sz w:val="16"/>
          <w:szCs w:val="16"/>
        </w:rPr>
      </w:pPr>
    </w:p>
    <w:p w14:paraId="62E88451">
      <w:pPr>
        <w:tabs>
          <w:tab w:val="left" w:pos="142"/>
        </w:tabs>
        <w:jc w:val="both"/>
        <w:rPr>
          <w:rFonts w:hint="default" w:ascii="Arial" w:hAnsi="Arial" w:cs="Arial"/>
          <w:b/>
          <w:bCs/>
          <w:kern w:val="0"/>
          <w:sz w:val="21"/>
          <w:szCs w:val="21"/>
          <w:lang w:val="pt-BR"/>
        </w:rPr>
      </w:pPr>
      <w:r>
        <w:rPr>
          <w:b/>
          <w:bCs/>
          <w:sz w:val="16"/>
          <w:szCs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273685</wp:posOffset>
            </wp:positionV>
            <wp:extent cx="7305675" cy="6486525"/>
            <wp:effectExtent l="0" t="0" r="9525" b="9525"/>
            <wp:wrapNone/>
            <wp:docPr id="11203121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12145" name="Imagem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90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6486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kern w:val="0"/>
          <w:sz w:val="16"/>
          <w:szCs w:val="16"/>
        </w:rPr>
        <w:t>A Câmara Municipal de Barão do Triunfo aprova e eu, Elomar Rocha Kologeski, Prefeito Municipal sanciono a seguinte Lei</w:t>
      </w:r>
      <w:r>
        <w:rPr>
          <w:rFonts w:hint="default" w:ascii="Arial" w:hAnsi="Arial" w:cs="Arial"/>
          <w:b/>
          <w:bCs/>
          <w:kern w:val="0"/>
          <w:sz w:val="16"/>
          <w:szCs w:val="16"/>
          <w:lang w:val="pt-BR"/>
        </w:rPr>
        <w:t>:</w:t>
      </w:r>
    </w:p>
    <w:p w14:paraId="72F9C3A2">
      <w:pPr>
        <w:rPr>
          <w:rFonts w:ascii="Arial" w:hAnsi="Arial" w:cs="Arial"/>
          <w:sz w:val="21"/>
          <w:szCs w:val="21"/>
        </w:rPr>
      </w:pPr>
    </w:p>
    <w:p w14:paraId="27D3153B">
      <w:pPr>
        <w:rPr>
          <w:rFonts w:ascii="Arial" w:hAnsi="Arial" w:cs="Arial"/>
          <w:sz w:val="21"/>
          <w:szCs w:val="21"/>
        </w:rPr>
      </w:pPr>
    </w:p>
    <w:p w14:paraId="6F7864BD">
      <w:pPr>
        <w:rPr>
          <w:rFonts w:ascii="Arial" w:hAnsi="Arial" w:cs="Arial"/>
          <w:sz w:val="21"/>
          <w:szCs w:val="21"/>
        </w:rPr>
      </w:pPr>
    </w:p>
    <w:p w14:paraId="1CBD54CC">
      <w:pPr>
        <w:rPr>
          <w:rFonts w:ascii="Arial" w:hAnsi="Arial" w:cs="Arial"/>
          <w:sz w:val="21"/>
          <w:szCs w:val="21"/>
        </w:rPr>
      </w:pPr>
    </w:p>
    <w:p w14:paraId="6A374BFD">
      <w:pPr>
        <w:rPr>
          <w:rFonts w:ascii="Arial" w:hAnsi="Arial" w:cs="Arial"/>
          <w:sz w:val="21"/>
          <w:szCs w:val="21"/>
        </w:rPr>
      </w:pPr>
    </w:p>
    <w:p w14:paraId="364EE3A4">
      <w:pPr>
        <w:rPr>
          <w:rFonts w:ascii="Arial" w:hAnsi="Arial" w:cs="Arial"/>
          <w:sz w:val="21"/>
          <w:szCs w:val="21"/>
        </w:rPr>
      </w:pPr>
    </w:p>
    <w:p w14:paraId="44313121">
      <w:pPr>
        <w:rPr>
          <w:rFonts w:ascii="Arial" w:hAnsi="Arial" w:cs="Arial"/>
          <w:sz w:val="21"/>
          <w:szCs w:val="21"/>
        </w:rPr>
      </w:pPr>
    </w:p>
    <w:p w14:paraId="005B05A4">
      <w:pPr>
        <w:rPr>
          <w:rFonts w:ascii="Arial" w:hAnsi="Arial" w:cs="Arial"/>
          <w:sz w:val="21"/>
          <w:szCs w:val="21"/>
        </w:rPr>
      </w:pPr>
    </w:p>
    <w:p w14:paraId="323DC5F0">
      <w:pPr>
        <w:rPr>
          <w:rFonts w:ascii="Arial" w:hAnsi="Arial" w:cs="Arial"/>
          <w:sz w:val="21"/>
          <w:szCs w:val="21"/>
        </w:rPr>
      </w:pPr>
    </w:p>
    <w:p w14:paraId="405953E4">
      <w:pPr>
        <w:rPr>
          <w:rFonts w:ascii="Arial" w:hAnsi="Arial" w:cs="Arial"/>
          <w:sz w:val="21"/>
          <w:szCs w:val="21"/>
        </w:rPr>
      </w:pPr>
    </w:p>
    <w:p w14:paraId="5B199258">
      <w:pPr>
        <w:rPr>
          <w:rFonts w:ascii="Arial" w:hAnsi="Arial" w:cs="Arial"/>
          <w:sz w:val="21"/>
          <w:szCs w:val="21"/>
        </w:rPr>
      </w:pPr>
    </w:p>
    <w:p w14:paraId="286CEB82">
      <w:pPr>
        <w:rPr>
          <w:rFonts w:ascii="Arial" w:hAnsi="Arial" w:cs="Arial"/>
          <w:sz w:val="21"/>
          <w:szCs w:val="21"/>
        </w:rPr>
      </w:pPr>
    </w:p>
    <w:p w14:paraId="3CE8D370">
      <w:pPr>
        <w:rPr>
          <w:rFonts w:ascii="Arial" w:hAnsi="Arial" w:cs="Arial"/>
          <w:sz w:val="21"/>
          <w:szCs w:val="21"/>
        </w:rPr>
      </w:pPr>
    </w:p>
    <w:p w14:paraId="7C3B2C18">
      <w:pPr>
        <w:rPr>
          <w:rFonts w:ascii="Arial" w:hAnsi="Arial" w:cs="Arial"/>
          <w:sz w:val="21"/>
          <w:szCs w:val="21"/>
        </w:rPr>
      </w:pPr>
    </w:p>
    <w:p w14:paraId="742939F2">
      <w:pPr>
        <w:rPr>
          <w:rFonts w:ascii="Arial" w:hAnsi="Arial" w:cs="Arial"/>
          <w:sz w:val="21"/>
          <w:szCs w:val="21"/>
        </w:rPr>
      </w:pPr>
    </w:p>
    <w:p w14:paraId="73DE43F6">
      <w:pPr>
        <w:rPr>
          <w:rFonts w:ascii="Arial" w:hAnsi="Arial" w:cs="Arial"/>
          <w:sz w:val="21"/>
          <w:szCs w:val="21"/>
        </w:rPr>
      </w:pPr>
    </w:p>
    <w:p w14:paraId="6CA0C97B">
      <w:pPr>
        <w:rPr>
          <w:rFonts w:ascii="Arial" w:hAnsi="Arial" w:cs="Arial"/>
          <w:sz w:val="21"/>
          <w:szCs w:val="21"/>
        </w:rPr>
      </w:pPr>
    </w:p>
    <w:p w14:paraId="116BED03">
      <w:pPr>
        <w:rPr>
          <w:rFonts w:ascii="Arial" w:hAnsi="Arial" w:cs="Arial"/>
          <w:sz w:val="21"/>
          <w:szCs w:val="21"/>
        </w:rPr>
      </w:pPr>
    </w:p>
    <w:p w14:paraId="1137EFDE">
      <w:pPr>
        <w:rPr>
          <w:rFonts w:ascii="Arial" w:hAnsi="Arial" w:cs="Arial"/>
          <w:sz w:val="21"/>
          <w:szCs w:val="21"/>
        </w:rPr>
      </w:pPr>
    </w:p>
    <w:p w14:paraId="715F405C">
      <w:pPr>
        <w:rPr>
          <w:rFonts w:ascii="Arial" w:hAnsi="Arial" w:cs="Arial"/>
          <w:sz w:val="21"/>
          <w:szCs w:val="21"/>
        </w:rPr>
      </w:pPr>
    </w:p>
    <w:p w14:paraId="0282DF1A">
      <w:pPr>
        <w:rPr>
          <w:rFonts w:ascii="Arial" w:hAnsi="Arial" w:cs="Arial"/>
          <w:sz w:val="21"/>
          <w:szCs w:val="21"/>
        </w:rPr>
      </w:pPr>
    </w:p>
    <w:p w14:paraId="5F1A3F2F">
      <w:pPr>
        <w:rPr>
          <w:rFonts w:ascii="Arial" w:hAnsi="Arial" w:cs="Arial"/>
          <w:sz w:val="21"/>
          <w:szCs w:val="21"/>
        </w:rPr>
      </w:pPr>
    </w:p>
    <w:p w14:paraId="73B91E28">
      <w:pPr>
        <w:tabs>
          <w:tab w:val="left" w:pos="1515"/>
        </w:tabs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7BF310E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7DE47EE2">
      <w:pPr>
        <w:tabs>
          <w:tab w:val="left" w:pos="1515"/>
        </w:tabs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55880</wp:posOffset>
            </wp:positionV>
            <wp:extent cx="7600950" cy="8667750"/>
            <wp:effectExtent l="0" t="0" r="0" b="0"/>
            <wp:wrapNone/>
            <wp:docPr id="477845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84517" name="Imagem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4073F">
      <w:pPr>
        <w:rPr>
          <w:rFonts w:ascii="Arial" w:hAnsi="Arial" w:cs="Arial"/>
          <w:sz w:val="21"/>
          <w:szCs w:val="21"/>
        </w:rPr>
      </w:pPr>
    </w:p>
    <w:p w14:paraId="3D9F7EFD">
      <w:pPr>
        <w:rPr>
          <w:rFonts w:ascii="Arial" w:hAnsi="Arial" w:cs="Arial"/>
          <w:sz w:val="21"/>
          <w:szCs w:val="21"/>
        </w:rPr>
      </w:pPr>
    </w:p>
    <w:p w14:paraId="2AB25214">
      <w:pPr>
        <w:rPr>
          <w:rFonts w:ascii="Arial" w:hAnsi="Arial" w:cs="Arial"/>
          <w:sz w:val="21"/>
          <w:szCs w:val="21"/>
        </w:rPr>
      </w:pPr>
    </w:p>
    <w:p w14:paraId="2119FC93">
      <w:pPr>
        <w:rPr>
          <w:rFonts w:ascii="Arial" w:hAnsi="Arial" w:cs="Arial"/>
          <w:sz w:val="21"/>
          <w:szCs w:val="21"/>
        </w:rPr>
      </w:pPr>
    </w:p>
    <w:p w14:paraId="50846445">
      <w:pPr>
        <w:rPr>
          <w:rFonts w:ascii="Arial" w:hAnsi="Arial" w:cs="Arial"/>
          <w:sz w:val="21"/>
          <w:szCs w:val="21"/>
        </w:rPr>
      </w:pPr>
    </w:p>
    <w:p w14:paraId="760C83BE">
      <w:pPr>
        <w:rPr>
          <w:rFonts w:ascii="Arial" w:hAnsi="Arial" w:cs="Arial"/>
          <w:sz w:val="21"/>
          <w:szCs w:val="21"/>
        </w:rPr>
      </w:pPr>
    </w:p>
    <w:p w14:paraId="49AF34DE">
      <w:pPr>
        <w:rPr>
          <w:rFonts w:ascii="Arial" w:hAnsi="Arial" w:cs="Arial"/>
          <w:sz w:val="21"/>
          <w:szCs w:val="21"/>
        </w:rPr>
      </w:pPr>
    </w:p>
    <w:p w14:paraId="5339E7BA">
      <w:pPr>
        <w:rPr>
          <w:rFonts w:ascii="Arial" w:hAnsi="Arial" w:cs="Arial"/>
          <w:sz w:val="21"/>
          <w:szCs w:val="21"/>
        </w:rPr>
      </w:pPr>
    </w:p>
    <w:p w14:paraId="78645F06">
      <w:pPr>
        <w:rPr>
          <w:rFonts w:ascii="Arial" w:hAnsi="Arial" w:cs="Arial"/>
          <w:sz w:val="21"/>
          <w:szCs w:val="21"/>
        </w:rPr>
      </w:pPr>
    </w:p>
    <w:p w14:paraId="01C7A025">
      <w:pPr>
        <w:rPr>
          <w:rFonts w:ascii="Arial" w:hAnsi="Arial" w:cs="Arial"/>
          <w:sz w:val="21"/>
          <w:szCs w:val="21"/>
        </w:rPr>
      </w:pPr>
    </w:p>
    <w:p w14:paraId="4CF54E24">
      <w:pPr>
        <w:rPr>
          <w:rFonts w:ascii="Arial" w:hAnsi="Arial" w:cs="Arial"/>
          <w:sz w:val="21"/>
          <w:szCs w:val="21"/>
        </w:rPr>
      </w:pPr>
    </w:p>
    <w:p w14:paraId="5E4357E8">
      <w:pPr>
        <w:rPr>
          <w:rFonts w:ascii="Arial" w:hAnsi="Arial" w:cs="Arial"/>
          <w:sz w:val="21"/>
          <w:szCs w:val="21"/>
        </w:rPr>
      </w:pPr>
    </w:p>
    <w:p w14:paraId="30032AE6">
      <w:pPr>
        <w:rPr>
          <w:rFonts w:ascii="Arial" w:hAnsi="Arial" w:cs="Arial"/>
          <w:sz w:val="21"/>
          <w:szCs w:val="21"/>
        </w:rPr>
      </w:pPr>
    </w:p>
    <w:p w14:paraId="608E12D3">
      <w:pPr>
        <w:rPr>
          <w:rFonts w:ascii="Arial" w:hAnsi="Arial" w:cs="Arial"/>
          <w:sz w:val="21"/>
          <w:szCs w:val="21"/>
        </w:rPr>
      </w:pPr>
    </w:p>
    <w:p w14:paraId="3A17B1F5">
      <w:pPr>
        <w:rPr>
          <w:rFonts w:ascii="Arial" w:hAnsi="Arial" w:cs="Arial"/>
          <w:sz w:val="21"/>
          <w:szCs w:val="21"/>
        </w:rPr>
      </w:pPr>
    </w:p>
    <w:p w14:paraId="7E62D555">
      <w:pPr>
        <w:rPr>
          <w:rFonts w:ascii="Arial" w:hAnsi="Arial" w:cs="Arial"/>
          <w:sz w:val="21"/>
          <w:szCs w:val="21"/>
        </w:rPr>
      </w:pPr>
    </w:p>
    <w:p w14:paraId="5FE804B0">
      <w:pPr>
        <w:rPr>
          <w:rFonts w:ascii="Arial" w:hAnsi="Arial" w:cs="Arial"/>
          <w:sz w:val="21"/>
          <w:szCs w:val="21"/>
        </w:rPr>
      </w:pPr>
    </w:p>
    <w:p w14:paraId="63BF6642">
      <w:pPr>
        <w:rPr>
          <w:rFonts w:ascii="Arial" w:hAnsi="Arial" w:cs="Arial"/>
          <w:sz w:val="21"/>
          <w:szCs w:val="21"/>
        </w:rPr>
      </w:pPr>
    </w:p>
    <w:p w14:paraId="0F399E43">
      <w:pPr>
        <w:rPr>
          <w:rFonts w:ascii="Arial" w:hAnsi="Arial" w:cs="Arial"/>
          <w:sz w:val="21"/>
          <w:szCs w:val="21"/>
        </w:rPr>
      </w:pPr>
    </w:p>
    <w:p w14:paraId="313D87A9">
      <w:pPr>
        <w:rPr>
          <w:rFonts w:ascii="Arial" w:hAnsi="Arial" w:cs="Arial"/>
          <w:sz w:val="21"/>
          <w:szCs w:val="21"/>
        </w:rPr>
      </w:pPr>
    </w:p>
    <w:p w14:paraId="70AD9233">
      <w:pPr>
        <w:rPr>
          <w:rFonts w:ascii="Arial" w:hAnsi="Arial" w:cs="Arial"/>
          <w:sz w:val="21"/>
          <w:szCs w:val="21"/>
        </w:rPr>
      </w:pPr>
    </w:p>
    <w:p w14:paraId="0C853419">
      <w:pPr>
        <w:rPr>
          <w:rFonts w:ascii="Arial" w:hAnsi="Arial" w:cs="Arial"/>
          <w:sz w:val="21"/>
          <w:szCs w:val="21"/>
        </w:rPr>
      </w:pPr>
    </w:p>
    <w:p w14:paraId="56CB3719">
      <w:pPr>
        <w:rPr>
          <w:rFonts w:ascii="Arial" w:hAnsi="Arial" w:cs="Arial"/>
          <w:sz w:val="21"/>
          <w:szCs w:val="21"/>
        </w:rPr>
      </w:pPr>
    </w:p>
    <w:p w14:paraId="1DD0CC52">
      <w:pPr>
        <w:rPr>
          <w:rFonts w:ascii="Arial" w:hAnsi="Arial" w:cs="Arial"/>
          <w:sz w:val="21"/>
          <w:szCs w:val="21"/>
        </w:rPr>
      </w:pPr>
    </w:p>
    <w:p w14:paraId="6FC5EF06">
      <w:pPr>
        <w:rPr>
          <w:rFonts w:ascii="Arial" w:hAnsi="Arial" w:cs="Arial"/>
          <w:sz w:val="21"/>
          <w:szCs w:val="21"/>
        </w:rPr>
      </w:pPr>
    </w:p>
    <w:p w14:paraId="31255902">
      <w:pPr>
        <w:rPr>
          <w:rFonts w:ascii="Arial" w:hAnsi="Arial" w:cs="Arial"/>
          <w:sz w:val="21"/>
          <w:szCs w:val="21"/>
        </w:rPr>
      </w:pPr>
    </w:p>
    <w:p w14:paraId="7258DE10">
      <w:pPr>
        <w:rPr>
          <w:rFonts w:ascii="Arial" w:hAnsi="Arial" w:cs="Arial"/>
          <w:sz w:val="21"/>
          <w:szCs w:val="21"/>
        </w:rPr>
      </w:pPr>
    </w:p>
    <w:p w14:paraId="3A1D64B7">
      <w:pPr>
        <w:rPr>
          <w:rFonts w:ascii="Arial" w:hAnsi="Arial" w:cs="Arial"/>
          <w:sz w:val="21"/>
          <w:szCs w:val="21"/>
        </w:rPr>
      </w:pPr>
    </w:p>
    <w:p w14:paraId="60570C5E">
      <w:pPr>
        <w:rPr>
          <w:rFonts w:ascii="Arial" w:hAnsi="Arial" w:cs="Arial"/>
          <w:sz w:val="21"/>
          <w:szCs w:val="21"/>
        </w:rPr>
      </w:pPr>
    </w:p>
    <w:p w14:paraId="53786EB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1DAB944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-1270</wp:posOffset>
            </wp:positionV>
            <wp:extent cx="7353300" cy="8648700"/>
            <wp:effectExtent l="0" t="0" r="0" b="0"/>
            <wp:wrapNone/>
            <wp:docPr id="144120479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04796" name="Imagem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1"/>
          <w:szCs w:val="21"/>
        </w:rPr>
        <w:br w:type="page"/>
      </w:r>
    </w:p>
    <w:p w14:paraId="4F5B4D8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-1270</wp:posOffset>
            </wp:positionV>
            <wp:extent cx="7343775" cy="8743950"/>
            <wp:effectExtent l="0" t="0" r="9525" b="0"/>
            <wp:wrapNone/>
            <wp:docPr id="19571850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5014" name="Imagem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1"/>
          <w:szCs w:val="21"/>
        </w:rPr>
        <w:br w:type="page"/>
      </w:r>
    </w:p>
    <w:p w14:paraId="394F18EC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-1270</wp:posOffset>
            </wp:positionV>
            <wp:extent cx="7362825" cy="8829675"/>
            <wp:effectExtent l="0" t="0" r="9525" b="9525"/>
            <wp:wrapNone/>
            <wp:docPr id="37285085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50856" name="Imagem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1"/>
          <w:szCs w:val="21"/>
        </w:rPr>
        <w:br w:type="page"/>
      </w:r>
    </w:p>
    <w:p w14:paraId="6F692EA8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-1270</wp:posOffset>
            </wp:positionV>
            <wp:extent cx="7324725" cy="8724900"/>
            <wp:effectExtent l="0" t="0" r="9525" b="0"/>
            <wp:wrapNone/>
            <wp:docPr id="73565998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59988" name="Imagem 7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1"/>
          <w:szCs w:val="21"/>
        </w:rPr>
        <w:br w:type="page"/>
      </w:r>
    </w:p>
    <w:p w14:paraId="7FCDAEF6">
      <w:pPr>
        <w:ind w:firstLine="708"/>
        <w:jc w:val="both"/>
        <w:rPr>
          <w:rFonts w:ascii="Arial" w:hAnsi="Arial" w:eastAsia="Calibri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4768215</wp:posOffset>
            </wp:positionV>
            <wp:extent cx="7019925" cy="3724275"/>
            <wp:effectExtent l="0" t="0" r="9525" b="9525"/>
            <wp:wrapSquare wrapText="bothSides"/>
            <wp:docPr id="2010749913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49913" name="Imagem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724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0</wp:posOffset>
            </wp:positionV>
            <wp:extent cx="7239000" cy="4267200"/>
            <wp:effectExtent l="0" t="0" r="0" b="0"/>
            <wp:wrapSquare wrapText="bothSides"/>
            <wp:docPr id="182323444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34446" name="Imagem 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4267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eastAsia="Calibri" w:cs="Arial"/>
          <w:b/>
          <w:bCs/>
          <w:sz w:val="16"/>
          <w:szCs w:val="16"/>
        </w:rPr>
        <w:t>Art. 18. Para os efeitos do art. 16 da Lei Complementar nº 101 de 2000, entende-se como despesas irrelevantes, para fins do § 3°, aquelas cujo valor não ultrapassarem os limites a que se referem os incisos I e II do art. 75 da Lei Federal nº 14.133 de 1º de abril de 2021, Lei de Licitações e Contratos Administrativos.</w:t>
      </w:r>
    </w:p>
    <w:p w14:paraId="7C175CC4">
      <w:pPr>
        <w:ind w:firstLine="708"/>
        <w:jc w:val="both"/>
        <w:rPr>
          <w:rFonts w:ascii="Arial" w:hAnsi="Arial" w:eastAsia="Calibri" w:cs="Arial"/>
          <w:sz w:val="16"/>
          <w:szCs w:val="16"/>
        </w:rPr>
      </w:pPr>
      <w:r>
        <w:rPr>
          <w:rFonts w:ascii="Arial" w:hAnsi="Arial" w:eastAsia="Calibri" w:cs="Arial"/>
          <w:sz w:val="16"/>
          <w:szCs w:val="1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-1270</wp:posOffset>
            </wp:positionV>
            <wp:extent cx="7219950" cy="8429625"/>
            <wp:effectExtent l="0" t="0" r="0" b="9525"/>
            <wp:wrapNone/>
            <wp:docPr id="160684228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842284" name="Imagem 1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6"/>
          <w:szCs w:val="16"/>
        </w:rPr>
        <w:br w:type="page"/>
      </w:r>
    </w:p>
    <w:p w14:paraId="15F67D7E">
      <w:pPr>
        <w:rPr>
          <w:rFonts w:ascii="Arial" w:hAnsi="Arial" w:cs="Arial"/>
          <w:sz w:val="21"/>
          <w:szCs w:val="21"/>
        </w:rPr>
      </w:pPr>
    </w:p>
    <w:p w14:paraId="618462FF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CAPÍTULO VI</w:t>
      </w:r>
    </w:p>
    <w:p w14:paraId="32B21ABC">
      <w:pPr>
        <w:jc w:val="center"/>
        <w:rPr>
          <w:rFonts w:ascii="Arial" w:hAnsi="Arial" w:cs="Arial"/>
          <w:sz w:val="2"/>
          <w:szCs w:val="2"/>
        </w:rPr>
      </w:pPr>
    </w:p>
    <w:p w14:paraId="47FE267F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DAS DISPOSIÇÕES RELATIVAS ÀS DESPESAS DO MUNICÍPIO COM PESSOAL E ENCARGOS SOCIAIS</w:t>
      </w:r>
    </w:p>
    <w:p w14:paraId="73CEB470">
      <w:pPr>
        <w:spacing w:before="100" w:beforeAutospacing="1" w:after="100" w:afterAutospacing="1" w:line="256" w:lineRule="auto"/>
        <w:ind w:firstLine="708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Art. 27. Para fins de atendimento ao disposto no inciso II do §1º do art. 169 da Constituição Federal, no Caput e no Art. 73, Parágrafo Único, Inciso II, da Lei o aumento das despesas com pessoal do Poder Executivo e Legislativo para o exercício a que se refere esta Lei, são os seguintes:</w:t>
      </w:r>
    </w:p>
    <w:p w14:paraId="5BED0FE4">
      <w:p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I – no Poder Executivo:</w:t>
      </w:r>
    </w:p>
    <w:p w14:paraId="30878A8D">
      <w:pPr>
        <w:numPr>
          <w:ilvl w:val="0"/>
          <w:numId w:val="1"/>
        </w:num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nomeação de servidores aprovados no Concurso Público nº 01/2024 para os cargos previstos no Edital nº 01/2024.</w:t>
      </w:r>
    </w:p>
    <w:p w14:paraId="5ADB0C34">
      <w:pPr>
        <w:numPr>
          <w:ilvl w:val="0"/>
          <w:numId w:val="1"/>
        </w:num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aumento real do subsídio do Prefeito, Vice-Prefeito e Secretários municipais de até 10% conforme Lei Municipal nº 719/2024 e Lei Municipal nº 720/2024.</w:t>
      </w:r>
    </w:p>
    <w:p w14:paraId="206FFD96">
      <w:p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II – no Poder Legislativo:</w:t>
      </w:r>
    </w:p>
    <w:p w14:paraId="03601D0B">
      <w:pPr>
        <w:numPr>
          <w:ilvl w:val="0"/>
          <w:numId w:val="2"/>
        </w:num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alteração do padrão de vencimento do cargo de Tesoureiro (40 horas) até o limite equivalente ao padrão de remuneração 03 da Lei Municipal nº 114 de 20 de agosto de 2013, que dispõe sobre o Quadro de Cargos e Funções Públicas da Câmara Municipal de Barão do Triunfo/RS.</w:t>
      </w:r>
    </w:p>
    <w:p w14:paraId="1946CF4B">
      <w:pPr>
        <w:numPr>
          <w:ilvl w:val="0"/>
          <w:numId w:val="2"/>
        </w:num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aumento real do subsídio dos Vereadores da Câmara Municipal de até 15% conforme Lei Municipal nº 718/2024.</w:t>
      </w:r>
    </w:p>
    <w:p w14:paraId="128CCEDF">
      <w:pPr>
        <w:numPr>
          <w:ilvl w:val="0"/>
          <w:numId w:val="2"/>
        </w:num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Maj</w:t>
      </w:r>
      <w:bookmarkStart w:id="0" w:name="_GoBack"/>
      <w:bookmarkEnd w:id="0"/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oração ou reajuste do vale-alimentação, de que trata a Lei Municipal nº 199/15 até o limite de R$ 900,00 (novecentos reais) mensais.</w:t>
      </w:r>
    </w:p>
    <w:p w14:paraId="3EE8FC0E">
      <w:p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§ 1º Além dos cargos e funções de que trata este artigo, para fins de aumento da despesa com pessoal para o exercício a que se refere esta Lei, fica autorizada a concessão da revisão geral anual das remunerações, subsídios, proventos e pensões dos servidores ativos e inativos dos Poderes Executivo e Legislativo, de que trata o inciso X do art. 37 da Constituição Federal.</w:t>
      </w:r>
    </w:p>
    <w:p w14:paraId="0B1A8406">
      <w:pPr>
        <w:spacing w:before="100" w:beforeAutospacing="1" w:after="100" w:afterAutospacing="1" w:line="256" w:lineRule="auto"/>
        <w:jc w:val="both"/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</w:pPr>
      <w:r>
        <w:rPr>
          <w:rFonts w:ascii="Arial" w:hAnsi="Arial" w:eastAsia="Calibri" w:cs="Arial"/>
          <w:b/>
          <w:bCs/>
          <w:kern w:val="0"/>
          <w:sz w:val="16"/>
          <w:szCs w:val="16"/>
          <w:lang w:eastAsia="pt-BR"/>
          <w14:ligatures w14:val="none"/>
        </w:rPr>
        <w:t>§ 2º. Fica o Poder Executivo e Legislativo autorizados a realizar contratação temporária por excepcional interesse público, para atendimento de interesse público motivado, na forma da legislação específica.</w:t>
      </w:r>
    </w:p>
    <w:p w14:paraId="21A6DEE7">
      <w:pPr>
        <w:ind w:firstLine="708"/>
        <w:jc w:val="both"/>
        <w:rPr>
          <w:rFonts w:ascii="Arial" w:hAnsi="Arial" w:eastAsia="Calibri" w:cs="Arial"/>
          <w:b/>
          <w:bCs/>
          <w:sz w:val="16"/>
          <w:szCs w:val="16"/>
        </w:rPr>
      </w:pPr>
      <w:r>
        <w:rPr>
          <w:rFonts w:ascii="Arial" w:hAnsi="Arial" w:eastAsia="Calibri" w:cs="Arial"/>
          <w:b/>
          <w:bCs/>
          <w:sz w:val="16"/>
          <w:szCs w:val="16"/>
        </w:rPr>
        <w:t>Art. 28. Para efeitos do parágrafo único do art. 22 da Lei Complementar Federal n</w:t>
      </w:r>
      <w:r>
        <w:rPr>
          <w:rFonts w:ascii="Arial" w:hAnsi="Arial" w:eastAsia="Calibri" w:cs="Arial"/>
          <w:b/>
          <w:bCs/>
          <w:sz w:val="16"/>
          <w:szCs w:val="16"/>
          <w:u w:val="single"/>
          <w:vertAlign w:val="superscript"/>
        </w:rPr>
        <w:t>o</w:t>
      </w:r>
      <w:r>
        <w:rPr>
          <w:rFonts w:ascii="Arial" w:hAnsi="Arial" w:eastAsia="Calibri" w:cs="Arial"/>
          <w:b/>
          <w:bCs/>
          <w:sz w:val="16"/>
          <w:szCs w:val="16"/>
        </w:rPr>
        <w:t xml:space="preserve"> 101, de 2000, no exercício a que se refere esta Lei, a realização de serviço extraordinário, quando a despesa com pessoal ultrapassar a noventa e cinco por cento do limite do Poder Executivo e do Legislativo, somente poderá ocorrer quando destinada ao atendimento de relevantes interesses públicos que ensejam situações emergencia</w:t>
      </w:r>
      <w:r>
        <w:rPr>
          <w:rFonts w:hint="default" w:ascii="Arial" w:hAnsi="Arial" w:eastAsia="Calibri" w:cs="Arial"/>
          <w:b/>
          <w:bCs/>
          <w:sz w:val="16"/>
          <w:szCs w:val="16"/>
          <w:lang w:val="pt-BR"/>
        </w:rPr>
        <w:t>l</w:t>
      </w:r>
      <w:r>
        <w:rPr>
          <w:rFonts w:ascii="Arial" w:hAnsi="Arial" w:eastAsia="Calibri" w:cs="Arial"/>
          <w:b/>
          <w:bCs/>
          <w:sz w:val="16"/>
          <w:szCs w:val="16"/>
        </w:rPr>
        <w:t>, de risco ou de prejuízo para a sociedade, dentre estes:</w:t>
      </w:r>
    </w:p>
    <w:p w14:paraId="19C1F85F">
      <w:pPr>
        <w:jc w:val="both"/>
        <w:rPr>
          <w:rFonts w:ascii="Arial" w:hAnsi="Arial" w:eastAsia="Calibri" w:cs="Arial"/>
          <w:b/>
          <w:bCs/>
          <w:sz w:val="16"/>
          <w:szCs w:val="16"/>
        </w:rPr>
      </w:pPr>
      <w:r>
        <w:rPr>
          <w:rFonts w:ascii="Arial" w:hAnsi="Arial" w:eastAsia="Calibri" w:cs="Arial"/>
          <w:b/>
          <w:bCs/>
          <w:sz w:val="16"/>
          <w:szCs w:val="16"/>
        </w:rPr>
        <w:t>I – situações de emergência ou calamidade pública;</w:t>
      </w:r>
    </w:p>
    <w:p w14:paraId="41620DAF">
      <w:pPr>
        <w:jc w:val="both"/>
        <w:rPr>
          <w:rFonts w:ascii="Arial" w:hAnsi="Arial" w:eastAsia="Calibri" w:cs="Arial"/>
          <w:b/>
          <w:bCs/>
          <w:sz w:val="16"/>
          <w:szCs w:val="16"/>
        </w:rPr>
      </w:pPr>
      <w:r>
        <w:rPr>
          <w:rFonts w:ascii="Arial" w:hAnsi="Arial" w:eastAsia="Calibri" w:cs="Arial"/>
          <w:b/>
          <w:bCs/>
          <w:sz w:val="16"/>
          <w:szCs w:val="16"/>
        </w:rPr>
        <w:t>II – situações em que possam estar em risco à segurança de pessoas ou bens</w:t>
      </w:r>
    </w:p>
    <w:p w14:paraId="2D29E916">
      <w:pPr>
        <w:jc w:val="both"/>
        <w:rPr>
          <w:rFonts w:ascii="Arial" w:hAnsi="Arial" w:eastAsia="Calibri" w:cs="Arial"/>
          <w:b/>
          <w:bCs/>
          <w:sz w:val="16"/>
          <w:szCs w:val="16"/>
        </w:rPr>
      </w:pPr>
      <w:r>
        <w:rPr>
          <w:rFonts w:ascii="Arial" w:hAnsi="Arial" w:eastAsia="Calibri" w:cs="Arial"/>
          <w:b/>
          <w:bCs/>
          <w:sz w:val="16"/>
          <w:szCs w:val="16"/>
        </w:rPr>
        <w:t>III – quando a relação custo-benefício se revelar favorável em relação a outras alternativas possíveis.</w:t>
      </w:r>
    </w:p>
    <w:p w14:paraId="431FA11B">
      <w:pPr>
        <w:jc w:val="both"/>
        <w:rPr>
          <w:rFonts w:ascii="Arial" w:hAnsi="Arial" w:eastAsia="Calibri" w:cs="Arial"/>
          <w:b/>
          <w:bCs/>
          <w:sz w:val="16"/>
          <w:szCs w:val="16"/>
        </w:rPr>
      </w:pPr>
    </w:p>
    <w:p w14:paraId="27BA8309">
      <w:pPr>
        <w:ind w:firstLine="708"/>
        <w:jc w:val="both"/>
        <w:rPr>
          <w:rFonts w:hint="default" w:ascii="Arial" w:hAnsi="Arial" w:cs="Arial"/>
          <w:b/>
          <w:bCs/>
          <w:color w:val="auto"/>
          <w:sz w:val="16"/>
          <w:szCs w:val="16"/>
          <w:lang w:val="pt-BR"/>
        </w:rPr>
      </w:pPr>
      <w:r>
        <w:rPr>
          <w:rFonts w:hint="default" w:ascii="Arial" w:hAnsi="Arial" w:cs="Arial"/>
          <w:b/>
          <w:bCs/>
          <w:color w:val="auto"/>
          <w:sz w:val="16"/>
          <w:szCs w:val="16"/>
          <w:lang w:val="pt-BR"/>
        </w:rPr>
        <w:t>Art. 29. Se a despesa de pessoal atingir o nível de que trata o parágrafo único do art. 22 da Lei Complementar nº101, de 2000, a contratação de hora extra fica restrita a necessidades emergenciais das áreas de saúde e de saneamento.</w:t>
      </w:r>
    </w:p>
    <w:p w14:paraId="62AD9ED1">
      <w:pPr>
        <w:ind w:firstLine="708"/>
        <w:jc w:val="both"/>
        <w:rPr>
          <w:rFonts w:ascii="Arial" w:hAnsi="Arial" w:cs="Arial"/>
          <w:color w:val="FF0000"/>
          <w:sz w:val="21"/>
          <w:szCs w:val="21"/>
        </w:rPr>
      </w:pPr>
    </w:p>
    <w:p w14:paraId="178B2475">
      <w:pPr>
        <w:ind w:firstLine="708"/>
        <w:jc w:val="both"/>
        <w:rPr>
          <w:rFonts w:ascii="Arial" w:hAnsi="Arial" w:cs="Arial"/>
          <w:color w:val="FF0000"/>
          <w:sz w:val="21"/>
          <w:szCs w:val="21"/>
        </w:rPr>
      </w:pPr>
    </w:p>
    <w:p w14:paraId="05724E76">
      <w:pPr>
        <w:ind w:firstLine="708"/>
        <w:jc w:val="both"/>
        <w:rPr>
          <w:rFonts w:ascii="Arial" w:hAnsi="Arial" w:cs="Arial"/>
          <w:color w:val="FF0000"/>
          <w:sz w:val="21"/>
          <w:szCs w:val="21"/>
        </w:rPr>
      </w:pPr>
    </w:p>
    <w:p w14:paraId="253BE3DC">
      <w:pPr>
        <w:jc w:val="both"/>
        <w:rPr>
          <w:rFonts w:ascii="Arial" w:hAnsi="Arial" w:eastAsia="Calibri" w:cs="Arial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6713855</wp:posOffset>
            </wp:positionV>
            <wp:extent cx="7429500" cy="1695450"/>
            <wp:effectExtent l="0" t="0" r="0" b="0"/>
            <wp:wrapNone/>
            <wp:docPr id="124228758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87587" name="Imagem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97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695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0</wp:posOffset>
            </wp:positionV>
            <wp:extent cx="7115175" cy="6848475"/>
            <wp:effectExtent l="0" t="0" r="9525" b="9525"/>
            <wp:wrapSquare wrapText="bothSides"/>
            <wp:docPr id="101684562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45627" name="Imagem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44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6848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5B5E19">
      <w:pPr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65405</wp:posOffset>
            </wp:positionV>
            <wp:extent cx="6924675" cy="1752600"/>
            <wp:effectExtent l="0" t="0" r="9525" b="0"/>
            <wp:wrapSquare wrapText="bothSides"/>
            <wp:docPr id="212844839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48395" name="Imagem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2" b="68961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752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16"/>
          <w:szCs w:val="16"/>
        </w:rPr>
        <w:t>Art. 36. Esta Lei entra em vigor na data de sua publicação.</w:t>
      </w:r>
    </w:p>
    <w:p w14:paraId="29D1E71B">
      <w:pPr>
        <w:rPr>
          <w:rFonts w:ascii="Arial" w:hAnsi="Arial" w:cs="Arial"/>
          <w:b/>
          <w:bCs/>
          <w:sz w:val="16"/>
          <w:szCs w:val="16"/>
        </w:rPr>
      </w:pPr>
    </w:p>
    <w:p w14:paraId="65FFC6DA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Barão do Triunfo, 04 de novembro de 2024.</w:t>
      </w:r>
    </w:p>
    <w:p w14:paraId="7A7C246B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EC226A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73264667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</w:p>
    <w:p w14:paraId="0D94BDCA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Elomar Rocha Kologeski</w:t>
      </w:r>
    </w:p>
    <w:p w14:paraId="5938ADE3">
      <w:pPr>
        <w:spacing w:after="0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Prefeito Municipal</w:t>
      </w:r>
    </w:p>
    <w:p w14:paraId="33FE2F87">
      <w:pPr>
        <w:rPr>
          <w:rFonts w:ascii="Arial" w:hAnsi="Arial" w:cs="Arial"/>
          <w:sz w:val="21"/>
          <w:szCs w:val="21"/>
        </w:rPr>
      </w:pPr>
    </w:p>
    <w:p w14:paraId="35E99B1B">
      <w:pPr>
        <w:rPr>
          <w:rFonts w:hint="default" w:ascii="Arial" w:hAnsi="Arial" w:cs="Arial"/>
          <w:b/>
          <w:bCs/>
          <w:sz w:val="16"/>
          <w:szCs w:val="16"/>
        </w:rPr>
      </w:pPr>
    </w:p>
    <w:p w14:paraId="49575017">
      <w:pPr>
        <w:rPr>
          <w:rFonts w:hint="default" w:ascii="Arial" w:hAnsi="Arial" w:cs="Arial"/>
          <w:b/>
          <w:bCs/>
          <w:sz w:val="16"/>
          <w:szCs w:val="16"/>
        </w:rPr>
      </w:pPr>
    </w:p>
    <w:p w14:paraId="3790C4C1">
      <w:p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ANEXOS:</w:t>
      </w:r>
    </w:p>
    <w:p w14:paraId="15033E46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Demonstrativos de Riscos Fiscais e Providências</w:t>
      </w:r>
    </w:p>
    <w:p w14:paraId="2F534476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Estimativa e Compensação da Renúncia de Receita</w:t>
      </w:r>
    </w:p>
    <w:p w14:paraId="74F724F5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Margem de Expansão das Despesas Obrigatórias de Caráter Continuado</w:t>
      </w:r>
    </w:p>
    <w:p w14:paraId="732D885B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Origem e Aplicação dos Recursos Obtidos com a Alienação de Ativos</w:t>
      </w:r>
    </w:p>
    <w:p w14:paraId="1A208DD4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Metodologia e Memória de Cálculo das Metas Anuais para as Despesas</w:t>
      </w:r>
    </w:p>
    <w:p w14:paraId="0D943CE7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 xml:space="preserve">Metodologia e Memória de Cálculo das Metas Anuais para as Receitas </w:t>
      </w:r>
    </w:p>
    <w:p w14:paraId="74B8631D">
      <w:pPr>
        <w:pStyle w:val="8"/>
        <w:numPr>
          <w:ilvl w:val="0"/>
          <w:numId w:val="3"/>
        </w:numPr>
        <w:rPr>
          <w:rFonts w:hint="default" w:ascii="Arial" w:hAnsi="Arial" w:cs="Arial"/>
          <w:b/>
          <w:bCs/>
          <w:sz w:val="16"/>
          <w:szCs w:val="16"/>
        </w:rPr>
      </w:pPr>
      <w:r>
        <w:rPr>
          <w:rFonts w:hint="default" w:ascii="Arial" w:hAnsi="Arial" w:cs="Arial"/>
          <w:b/>
          <w:bCs/>
          <w:sz w:val="16"/>
          <w:szCs w:val="16"/>
        </w:rPr>
        <w:t>Resultado da Avaliação Atuarial</w:t>
      </w:r>
    </w:p>
    <w:p w14:paraId="58AEF370">
      <w:pPr>
        <w:ind w:firstLine="708"/>
        <w:rPr>
          <w:rFonts w:ascii="Arial" w:hAnsi="Arial" w:cs="Arial"/>
          <w:sz w:val="21"/>
          <w:szCs w:val="21"/>
        </w:rPr>
      </w:pPr>
    </w:p>
    <w:sectPr>
      <w:headerReference r:id="rId5" w:type="default"/>
      <w:footerReference r:id="rId6" w:type="default"/>
      <w:pgSz w:w="11906" w:h="16838"/>
      <w:pgMar w:top="1417" w:right="1701" w:bottom="1417" w:left="1701" w:header="708" w:footer="403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3Font_52">
    <w:altName w:val="Liberation Mono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Liberation Mono">
    <w:panose1 w:val="02070409020205020404"/>
    <w:charset w:val="00"/>
    <w:family w:val="auto"/>
    <w:pitch w:val="default"/>
    <w:sig w:usb0="E0000AFF" w:usb1="400078FF" w:usb2="0000000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97CC8">
    <w:pPr>
      <w:pStyle w:val="5"/>
      <w:rPr>
        <w:b/>
        <w:sz w:val="20"/>
        <w:szCs w:val="20"/>
      </w:rPr>
    </w:pPr>
    <w:r>
      <w:rPr>
        <w:b/>
        <w:sz w:val="20"/>
        <w:szCs w:val="20"/>
      </w:rPr>
      <w:t>Av. Tassinare Cesari, n.º 476, Centro – Barão do Triunfo/RS – Cep.: 96735-000</w:t>
    </w:r>
  </w:p>
  <w:p w14:paraId="437A815F">
    <w:pPr>
      <w:pStyle w:val="5"/>
      <w:jc w:val="center"/>
      <w:rPr>
        <w:b/>
        <w:sz w:val="20"/>
        <w:szCs w:val="20"/>
      </w:rPr>
    </w:pPr>
    <w:r>
      <w:rPr>
        <w:b/>
        <w:sz w:val="20"/>
        <w:szCs w:val="20"/>
      </w:rPr>
      <w:t>Fone: (51) 3650.1143   Fax: (51) 3650.1055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49F544">
    <w:pPr>
      <w:jc w:val="center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2329815</wp:posOffset>
          </wp:positionH>
          <wp:positionV relativeFrom="paragraph">
            <wp:posOffset>-249555</wp:posOffset>
          </wp:positionV>
          <wp:extent cx="619125" cy="647700"/>
          <wp:effectExtent l="0" t="0" r="9525" b="0"/>
          <wp:wrapNone/>
          <wp:docPr id="99251613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516132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04F3718">
    <w:pPr>
      <w:spacing w:after="0"/>
      <w:jc w:val="center"/>
      <w:rPr>
        <w:b/>
      </w:rPr>
    </w:pPr>
  </w:p>
  <w:p w14:paraId="0662FC14">
    <w:pPr>
      <w:spacing w:after="0"/>
      <w:jc w:val="center"/>
      <w:rPr>
        <w:b/>
      </w:rPr>
    </w:pPr>
    <w:r>
      <w:rPr>
        <w:b/>
      </w:rPr>
      <w:t>PREFEITURA MUNICIPAL DE BARÃO DO TRIUNFO</w:t>
    </w:r>
  </w:p>
  <w:p w14:paraId="228D1163">
    <w:pPr>
      <w:spacing w:after="0"/>
      <w:jc w:val="center"/>
      <w:rPr>
        <w:b/>
      </w:rPr>
    </w:pPr>
    <w:r>
      <w:rPr>
        <w:b/>
      </w:rPr>
      <w:t>ESTADO DO RIO GRANDE DO SUL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C438E"/>
    <w:multiLevelType w:val="multilevel"/>
    <w:tmpl w:val="1EBC438E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396070A"/>
    <w:multiLevelType w:val="multilevel"/>
    <w:tmpl w:val="4396070A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2">
    <w:nsid w:val="57215C32"/>
    <w:multiLevelType w:val="multilevel"/>
    <w:tmpl w:val="57215C32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6480" w:hanging="360"/>
      </w:pPr>
      <w:rPr>
        <w:rFonts w:hint="default" w:ascii="Times New Roman" w:hAnsi="Times New Roman"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4927"/>
    <w:rsid w:val="00324AC8"/>
    <w:rsid w:val="005C102A"/>
    <w:rsid w:val="0096232C"/>
    <w:rsid w:val="00986BBD"/>
    <w:rsid w:val="00A90E77"/>
    <w:rsid w:val="00C32F2D"/>
    <w:rsid w:val="00FB59B7"/>
    <w:rsid w:val="0BC712D3"/>
    <w:rsid w:val="0D127195"/>
    <w:rsid w:val="528900B3"/>
    <w:rsid w:val="6C343D17"/>
    <w:rsid w:val="6C58547E"/>
    <w:rsid w:val="78C9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pt-BR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6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5">
    <w:name w:val="footer"/>
    <w:basedOn w:val="1"/>
    <w:link w:val="7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6">
    <w:name w:val="Cabeçalho Char"/>
    <w:basedOn w:val="2"/>
    <w:link w:val="4"/>
    <w:qFormat/>
    <w:uiPriority w:val="99"/>
  </w:style>
  <w:style w:type="character" w:customStyle="1" w:styleId="7">
    <w:name w:val="Rodapé Char"/>
    <w:basedOn w:val="2"/>
    <w:link w:val="5"/>
    <w:qFormat/>
    <w:uiPriority w:val="99"/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519</Words>
  <Characters>2805</Characters>
  <Lines>23</Lines>
  <Paragraphs>6</Paragraphs>
  <TotalTime>44</TotalTime>
  <ScaleCrop>false</ScaleCrop>
  <LinksUpToDate>false</LinksUpToDate>
  <CharactersWithSpaces>3318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2024-11-04T15:16:00Z</dcterms:created>
  <dc:creator>PMBT</dc:creator>
  <cp:lastModifiedBy>LNV-001</cp:lastModifiedBy>
  <cp:lastPrinted>2024-11-05T11:47:30Z</cp:lastPrinted>
  <dcterms:modified xsi:type="dcterms:W3CDTF">2024-11-05T12:00:31Z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1046-12.2.0.18607</vt:lpwstr>
  </property>
  <property fmtid="{D5CDD505-2E9C-101B-9397-08002B2CF9AE}" pid="3" name="ICV">
    <vt:lpwstr>532D33DDB5DA4C58AE63E1D9B1647828_12</vt:lpwstr>
  </property>
</Properties>
</file>